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AC3DC8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AC3DC8">
        <w:rPr>
          <w:szCs w:val="28"/>
        </w:rPr>
        <w:t>30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5A13AC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5A13AC">
        <w:rPr>
          <w:szCs w:val="28"/>
        </w:rPr>
        <w:t xml:space="preserve"> </w:t>
      </w:r>
      <w:bookmarkStart w:id="0" w:name="_GoBack"/>
      <w:bookmarkEnd w:id="0"/>
      <w:r w:rsidR="005A13AC">
        <w:rPr>
          <w:szCs w:val="28"/>
        </w:rPr>
        <w:t>01-11/45А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неденежные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неденежные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неденежные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A13AC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DC8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89E34"/>
  <w15:docId w15:val="{9857B4B7-BB4B-44B7-A78B-712CA674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E0725-3420-44C0-9DD3-BEE81BE2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5207</TotalTime>
  <Pages>1</Pages>
  <Words>26123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2017-08-23T12:05:00Z</cp:lastPrinted>
  <dcterms:created xsi:type="dcterms:W3CDTF">2017-02-15T12:47:00Z</dcterms:created>
  <dcterms:modified xsi:type="dcterms:W3CDTF">2019-06-24T06:37:00Z</dcterms:modified>
</cp:coreProperties>
</file>